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ind w:firstLine="5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身份证号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u w:val="single"/>
          <w:lang w:eastAsia="zh-CN"/>
        </w:rPr>
        <w:t>，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身份证号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u w:val="none"/>
        </w:rPr>
        <w:t xml:space="preserve"> </w:t>
      </w:r>
      <w:r>
        <w:rPr>
          <w:rFonts w:hint="eastAsia" w:ascii="宋体" w:hAnsi="宋体" w:cs="宋体"/>
          <w:sz w:val="24"/>
          <w:u w:val="none"/>
          <w:lang w:eastAsia="zh-CN"/>
        </w:rPr>
        <w:t>，</w:t>
      </w:r>
      <w:r>
        <w:rPr>
          <w:rFonts w:hint="eastAsia" w:ascii="宋体" w:hAnsi="宋体" w:cs="宋体"/>
          <w:sz w:val="24"/>
        </w:rPr>
        <w:t>为我方“雅安</w:t>
      </w:r>
      <w:r>
        <w:rPr>
          <w:rFonts w:hint="eastAsia" w:ascii="宋体" w:hAnsi="宋体" w:cs="宋体"/>
          <w:sz w:val="24"/>
          <w:lang w:val="en-US" w:eastAsia="zh-CN"/>
        </w:rPr>
        <w:t>博雅环境科技有限公司项目用车</w:t>
      </w:r>
      <w:r>
        <w:rPr>
          <w:rFonts w:hint="eastAsia" w:ascii="宋体" w:hAnsi="宋体" w:cs="宋体"/>
          <w:sz w:val="24"/>
        </w:rPr>
        <w:t>” 项目采购活动的唯一合法代表，以我方名义全权处理该项目有关谈判、询问、质疑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签订合同以及执行合同等一切事宜，其法律后果由我方承担。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</w:rPr>
        <w:t>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</w:rPr>
        <w:t xml:space="preserve">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</w:rPr>
        <w:t>联系电话：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附件2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报价函</w:t>
      </w:r>
    </w:p>
    <w:p>
      <w:pPr>
        <w:pStyle w:val="6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雅安博雅环境科技有限公司：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我司已认真阅读并认可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雅安博雅环境科技有限公司项目用车采购竞价公告的全部内容，愿提供如下清单报价：                  </w:t>
      </w:r>
    </w:p>
    <w:tbl>
      <w:tblPr>
        <w:tblStyle w:val="4"/>
        <w:tblW w:w="10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19"/>
        <w:gridCol w:w="1731"/>
        <w:gridCol w:w="1035"/>
        <w:gridCol w:w="1035"/>
        <w:gridCol w:w="1215"/>
        <w:gridCol w:w="1475"/>
        <w:gridCol w:w="110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40" w:type="dxa"/>
            <w:vAlign w:val="center"/>
          </w:tcPr>
          <w:p>
            <w:pPr>
              <w:pStyle w:val="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pStyle w:val="7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产品名称</w:t>
            </w:r>
          </w:p>
        </w:tc>
        <w:tc>
          <w:tcPr>
            <w:tcW w:w="1731" w:type="dxa"/>
            <w:vAlign w:val="center"/>
          </w:tcPr>
          <w:p>
            <w:pPr>
              <w:pStyle w:val="7"/>
              <w:rPr>
                <w:rFonts w:hint="eastAsia" w:eastAsiaTheme="minorEastAsia"/>
                <w:b/>
                <w:bCs/>
                <w:sz w:val="24"/>
                <w:highlight w:val="red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规格配置</w:t>
            </w:r>
          </w:p>
        </w:tc>
        <w:tc>
          <w:tcPr>
            <w:tcW w:w="1035" w:type="dxa"/>
            <w:vAlign w:val="center"/>
          </w:tcPr>
          <w:p>
            <w:pPr>
              <w:pStyle w:val="7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颜色</w:t>
            </w:r>
          </w:p>
        </w:tc>
        <w:tc>
          <w:tcPr>
            <w:tcW w:w="1035" w:type="dxa"/>
            <w:vAlign w:val="center"/>
          </w:tcPr>
          <w:p>
            <w:pPr>
              <w:pStyle w:val="7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排量</w:t>
            </w:r>
          </w:p>
        </w:tc>
        <w:tc>
          <w:tcPr>
            <w:tcW w:w="1215" w:type="dxa"/>
            <w:vAlign w:val="center"/>
          </w:tcPr>
          <w:p>
            <w:pPr>
              <w:pStyle w:val="7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475" w:type="dxa"/>
            <w:vAlign w:val="center"/>
          </w:tcPr>
          <w:p>
            <w:pPr>
              <w:pStyle w:val="7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报价总价（元）</w:t>
            </w:r>
          </w:p>
        </w:tc>
        <w:tc>
          <w:tcPr>
            <w:tcW w:w="1101" w:type="dxa"/>
            <w:vAlign w:val="center"/>
          </w:tcPr>
          <w:p>
            <w:pPr>
              <w:pStyle w:val="7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交货期限</w:t>
            </w:r>
          </w:p>
        </w:tc>
        <w:tc>
          <w:tcPr>
            <w:tcW w:w="1101" w:type="dxa"/>
            <w:vAlign w:val="center"/>
          </w:tcPr>
          <w:p>
            <w:pPr>
              <w:pStyle w:val="7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740" w:type="dxa"/>
            <w:vAlign w:val="center"/>
          </w:tcPr>
          <w:p>
            <w:pPr>
              <w:pStyle w:val="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31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highlight w:val="red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</w:pPr>
          </w:p>
        </w:tc>
        <w:tc>
          <w:tcPr>
            <w:tcW w:w="1035" w:type="dxa"/>
            <w:vAlign w:val="center"/>
          </w:tcPr>
          <w:p>
            <w:pPr>
              <w:pStyle w:val="6"/>
            </w:pPr>
          </w:p>
        </w:tc>
        <w:tc>
          <w:tcPr>
            <w:tcW w:w="1215" w:type="dxa"/>
            <w:vAlign w:val="center"/>
          </w:tcPr>
          <w:p>
            <w:pPr>
              <w:pStyle w:val="6"/>
            </w:pPr>
          </w:p>
        </w:tc>
        <w:tc>
          <w:tcPr>
            <w:tcW w:w="1475" w:type="dxa"/>
            <w:vAlign w:val="center"/>
          </w:tcPr>
          <w:p>
            <w:pPr>
              <w:pStyle w:val="6"/>
            </w:pPr>
          </w:p>
        </w:tc>
        <w:tc>
          <w:tcPr>
            <w:tcW w:w="1101" w:type="dxa"/>
            <w:vAlign w:val="center"/>
          </w:tcPr>
          <w:p>
            <w:pPr>
              <w:pStyle w:val="6"/>
            </w:pPr>
          </w:p>
        </w:tc>
        <w:tc>
          <w:tcPr>
            <w:tcW w:w="1101" w:type="dxa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51" w:type="dxa"/>
            <w:gridSpan w:val="8"/>
            <w:tcBorders>
              <w:bottom w:val="single" w:color="auto" w:sz="4" w:space="0"/>
            </w:tcBorders>
          </w:tcPr>
          <w:p>
            <w:pPr>
              <w:pStyle w:val="6"/>
              <w:rPr>
                <w:rStyle w:val="8"/>
                <w:sz w:val="24"/>
              </w:rPr>
            </w:pPr>
          </w:p>
          <w:p>
            <w:pPr>
              <w:pStyle w:val="6"/>
              <w:rPr>
                <w:rStyle w:val="8"/>
                <w:rFonts w:hint="eastAsia"/>
                <w:sz w:val="24"/>
              </w:rPr>
            </w:pPr>
            <w:r>
              <w:rPr>
                <w:rStyle w:val="8"/>
                <w:rFonts w:hint="eastAsia"/>
                <w:sz w:val="24"/>
              </w:rPr>
              <w:t>投标总价大写：</w:t>
            </w:r>
            <w:r>
              <w:rPr>
                <w:rStyle w:val="8"/>
                <w:rFonts w:hint="eastAsia"/>
                <w:sz w:val="24"/>
                <w:u w:val="single"/>
              </w:rPr>
              <w:t xml:space="preserve"> </w:t>
            </w:r>
            <w:r>
              <w:rPr>
                <w:rStyle w:val="8"/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Style w:val="8"/>
                <w:rFonts w:hint="eastAsia"/>
                <w:sz w:val="24"/>
                <w:u w:val="single"/>
              </w:rPr>
              <w:t xml:space="preserve">  </w:t>
            </w:r>
            <w:r>
              <w:rPr>
                <w:rStyle w:val="8"/>
                <w:rFonts w:hint="eastAsia"/>
                <w:sz w:val="24"/>
              </w:rPr>
              <w:t xml:space="preserve"> </w:t>
            </w:r>
          </w:p>
        </w:tc>
        <w:tc>
          <w:tcPr>
            <w:tcW w:w="1101" w:type="dxa"/>
            <w:tcBorders>
              <w:bottom w:val="single" w:color="auto" w:sz="4" w:space="0"/>
            </w:tcBorders>
          </w:tcPr>
          <w:p>
            <w:pPr>
              <w:pStyle w:val="6"/>
              <w:rPr>
                <w:rStyle w:val="8"/>
                <w:rFonts w:hint="eastAsia"/>
                <w:sz w:val="24"/>
              </w:rPr>
            </w:pPr>
          </w:p>
        </w:tc>
      </w:tr>
    </w:tbl>
    <w:p>
      <w:pPr>
        <w:pStyle w:val="10"/>
        <w:ind w:firstLine="482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报价单报价为最终含增值税价格，包括货物送货、安装、调试、检测、验收合格交付使用之前等所有有关各项含税费用，须提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供增值税专用发票，报价一经我公司认可，即为签订合同的最终依据。</w:t>
      </w:r>
    </w:p>
    <w:p>
      <w:pPr>
        <w:widowControl/>
        <w:spacing w:line="480" w:lineRule="exact"/>
        <w:ind w:right="150"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>
      <w:pPr>
        <w:pStyle w:val="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pStyle w:val="6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(签字或盖章)</w:t>
      </w:r>
    </w:p>
    <w:p>
      <w:pPr>
        <w:pStyle w:val="11"/>
        <w:numPr>
          <w:ilvl w:val="3"/>
          <w:numId w:val="0"/>
        </w:numPr>
        <w:ind w:left="420" w:leftChars="200"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start="1"/>
          <w:cols w:space="0" w:num="1"/>
          <w:rtlGutter w:val="0"/>
          <w:docGrid w:type="linesAndChars" w:linePitch="333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日 </w:t>
      </w:r>
    </w:p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2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雅安博雅环境科技有限公司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numPr>
          <w:ilvl w:val="0"/>
          <w:numId w:val="2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2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2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雅安博雅环境科技有限公司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(公章)：                </w:t>
      </w:r>
    </w:p>
    <w:p>
      <w:pPr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法定代表人（或授权代表）签字：</w:t>
      </w:r>
    </w:p>
    <w:p>
      <w:pPr>
        <w:wordWrap w:val="0"/>
        <w:spacing w:line="300" w:lineRule="auto"/>
        <w:ind w:firstLine="560" w:firstLineChars="200"/>
        <w:jc w:val="center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</w:t>
      </w: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1" name="文本框 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SI5rw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0"/>
        <w:tab w:val="center" w:pos="4153"/>
        <w:tab w:val="right" w:pos="8306"/>
      </w:tabs>
      <w:wordWrap w:val="0"/>
      <w:topLinePunct/>
      <w:spacing w:line="240" w:lineRule="aut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1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MGMxMzZkMTZhODM1MjZkZGY1MGJkMzc5MGJmMDYifQ=="/>
  </w:docVars>
  <w:rsids>
    <w:rsidRoot w:val="4A1142C2"/>
    <w:rsid w:val="4A1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7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sz w:val="21"/>
    </w:rPr>
  </w:style>
  <w:style w:type="character" w:customStyle="1" w:styleId="8">
    <w:name w:val="12、表格内左对齐正文 Char"/>
    <w:link w:val="9"/>
    <w:qFormat/>
    <w:uiPriority w:val="0"/>
    <w:rPr>
      <w:snapToGrid w:val="0"/>
      <w:sz w:val="21"/>
    </w:rPr>
  </w:style>
  <w:style w:type="paragraph" w:customStyle="1" w:styleId="9">
    <w:name w:val="12、表格内左对齐正文"/>
    <w:basedOn w:val="1"/>
    <w:link w:val="8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snapToGrid w:val="0"/>
      <w:sz w:val="21"/>
    </w:rPr>
  </w:style>
  <w:style w:type="paragraph" w:customStyle="1" w:styleId="10">
    <w:name w:val="03、“注：”正文(加粗，首行缩进2字符)"/>
    <w:basedOn w:val="6"/>
    <w:qFormat/>
    <w:uiPriority w:val="0"/>
    <w:pPr>
      <w:ind w:firstLine="480" w:firstLineChars="200"/>
    </w:pPr>
    <w:rPr>
      <w:b/>
    </w:rPr>
  </w:style>
  <w:style w:type="paragraph" w:customStyle="1" w:styleId="11">
    <w:name w:val="07、“1.1”正文五级标题"/>
    <w:basedOn w:val="1"/>
    <w:qFormat/>
    <w:uiPriority w:val="0"/>
    <w:pPr>
      <w:numPr>
        <w:ilvl w:val="3"/>
        <w:numId w:val="1"/>
      </w:numPr>
      <w:tabs>
        <w:tab w:val="left" w:pos="0"/>
      </w:tabs>
      <w:ind w:firstLine="803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2023-01-12T10:46:00Z</dcterms:created>
  <dc:creator>姑娘！你男朋友掉了</dc:creator>
  <cp:lastModifiedBy>姑娘！你男朋友掉了</cp:lastModifiedBy>
  <dcterms:modified xsi:type="dcterms:W3CDTF">2023-01-12T10:46:29Z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62E5B840420648FDB25DEDE957D12684</vt:lpwstr>
  </property>
</Properties>
</file>